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6214F9" w:rsidRDefault="006544C4" w:rsidP="006214F9">
      <w:pPr>
        <w:jc w:val="center"/>
        <w:rPr>
          <w:lang w:val="fr-FR"/>
        </w:rPr>
      </w:pPr>
      <w:bookmarkStart w:id="0" w:name="_GoBack"/>
      <w:bookmarkEnd w:id="0"/>
    </w:p>
    <w:p w:rsidR="0094178F" w:rsidRPr="006214F9" w:rsidRDefault="0094178F" w:rsidP="006214F9">
      <w:pPr>
        <w:jc w:val="center"/>
        <w:rPr>
          <w:sz w:val="4"/>
          <w:szCs w:val="4"/>
          <w:lang w:val="fr-FR"/>
        </w:rPr>
      </w:pPr>
    </w:p>
    <w:p w:rsidR="006544C4" w:rsidRPr="006214F9" w:rsidRDefault="00C06BBC" w:rsidP="006214F9">
      <w:pPr>
        <w:pStyle w:val="DecHTitle"/>
        <w:rPr>
          <w:lang w:val="fr-FR"/>
        </w:rPr>
      </w:pPr>
      <w:r w:rsidRPr="006214F9">
        <w:rPr>
          <w:szCs w:val="24"/>
          <w:lang w:val="fr-FR"/>
        </w:rPr>
        <w:t>PREMIÈRE SECTION</w:t>
      </w:r>
    </w:p>
    <w:p w:rsidR="006544C4" w:rsidRPr="006214F9" w:rsidRDefault="006544C4" w:rsidP="006214F9">
      <w:pPr>
        <w:pStyle w:val="DecHTitle"/>
        <w:rPr>
          <w:caps/>
          <w:sz w:val="32"/>
          <w:lang w:val="fr-FR"/>
        </w:rPr>
      </w:pPr>
      <w:r w:rsidRPr="006214F9">
        <w:rPr>
          <w:lang w:val="fr-FR"/>
        </w:rPr>
        <w:t>DÉCISION</w:t>
      </w:r>
    </w:p>
    <w:p w:rsidR="006544C4" w:rsidRPr="006214F9" w:rsidRDefault="00C06BBC" w:rsidP="006214F9">
      <w:pPr>
        <w:pStyle w:val="ECHRTitleCentre2"/>
        <w:rPr>
          <w:lang w:val="fr-FR"/>
        </w:rPr>
      </w:pPr>
      <w:r w:rsidRPr="006214F9">
        <w:rPr>
          <w:lang w:val="fr-FR"/>
        </w:rPr>
        <w:t>Requête n</w:t>
      </w:r>
      <w:r w:rsidRPr="006214F9">
        <w:rPr>
          <w:vertAlign w:val="superscript"/>
          <w:lang w:val="fr-FR"/>
        </w:rPr>
        <w:t>o</w:t>
      </w:r>
      <w:r w:rsidR="006544C4" w:rsidRPr="006214F9">
        <w:rPr>
          <w:lang w:val="fr-FR"/>
        </w:rPr>
        <w:t xml:space="preserve"> </w:t>
      </w:r>
      <w:r w:rsidRPr="006214F9">
        <w:rPr>
          <w:lang w:val="fr-FR"/>
        </w:rPr>
        <w:t>26071/13</w:t>
      </w:r>
      <w:r w:rsidR="006544C4" w:rsidRPr="006214F9">
        <w:rPr>
          <w:lang w:val="fr-FR"/>
        </w:rPr>
        <w:br/>
      </w:r>
      <w:proofErr w:type="spellStart"/>
      <w:r w:rsidRPr="006214F9">
        <w:rPr>
          <w:lang w:val="fr-FR"/>
        </w:rPr>
        <w:t>Gennaro</w:t>
      </w:r>
      <w:proofErr w:type="spellEnd"/>
      <w:r w:rsidRPr="006214F9">
        <w:rPr>
          <w:lang w:val="fr-FR"/>
        </w:rPr>
        <w:t xml:space="preserve"> TUCCILLO</w:t>
      </w:r>
      <w:r w:rsidRPr="006214F9">
        <w:rPr>
          <w:lang w:val="fr-FR"/>
        </w:rPr>
        <w:br/>
      </w:r>
      <w:r w:rsidR="006544C4" w:rsidRPr="006214F9">
        <w:rPr>
          <w:lang w:val="fr-FR"/>
        </w:rPr>
        <w:t xml:space="preserve">contre </w:t>
      </w:r>
      <w:r w:rsidRPr="006214F9">
        <w:rPr>
          <w:lang w:val="fr-FR"/>
        </w:rPr>
        <w:t>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Italie</w:t>
      </w:r>
    </w:p>
    <w:p w:rsidR="00C06BBC" w:rsidRPr="006214F9" w:rsidRDefault="00C06BBC" w:rsidP="006214F9">
      <w:pPr>
        <w:pStyle w:val="ECHRPara"/>
        <w:rPr>
          <w:lang w:val="fr-FR"/>
        </w:rPr>
      </w:pPr>
      <w:r w:rsidRPr="006214F9">
        <w:rPr>
          <w:lang w:val="fr-FR"/>
        </w:rPr>
        <w:t>La Cour européenne des droits de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homme (première section), siégeant le 6 février 2018 en un comité composé de :</w:t>
      </w:r>
    </w:p>
    <w:p w:rsidR="00C06BBC" w:rsidRPr="006214F9" w:rsidRDefault="00C06BBC" w:rsidP="006214F9">
      <w:pPr>
        <w:pStyle w:val="ECHRDecisionBody"/>
        <w:rPr>
          <w:lang w:val="fr-FR"/>
        </w:rPr>
      </w:pPr>
      <w:r w:rsidRPr="006214F9">
        <w:rPr>
          <w:lang w:val="fr-FR"/>
        </w:rPr>
        <w:tab/>
        <w:t xml:space="preserve">Kristina </w:t>
      </w:r>
      <w:proofErr w:type="spellStart"/>
      <w:r w:rsidRPr="006214F9">
        <w:rPr>
          <w:lang w:val="fr-FR"/>
        </w:rPr>
        <w:t>Pardalos</w:t>
      </w:r>
      <w:proofErr w:type="spellEnd"/>
      <w:r w:rsidRPr="006214F9">
        <w:rPr>
          <w:lang w:val="fr-FR"/>
        </w:rPr>
        <w:t>,</w:t>
      </w:r>
      <w:r w:rsidRPr="006214F9">
        <w:rPr>
          <w:i/>
          <w:lang w:val="fr-FR"/>
        </w:rPr>
        <w:t xml:space="preserve"> présidente,</w:t>
      </w:r>
      <w:r w:rsidRPr="006214F9">
        <w:rPr>
          <w:i/>
          <w:lang w:val="fr-FR"/>
        </w:rPr>
        <w:br/>
      </w:r>
      <w:r w:rsidRPr="006214F9">
        <w:rPr>
          <w:lang w:val="fr-FR"/>
        </w:rPr>
        <w:tab/>
      </w:r>
      <w:proofErr w:type="spellStart"/>
      <w:r w:rsidRPr="006214F9">
        <w:rPr>
          <w:lang w:val="fr-FR"/>
        </w:rPr>
        <w:t>Ksenija</w:t>
      </w:r>
      <w:proofErr w:type="spellEnd"/>
      <w:r w:rsidRPr="006214F9">
        <w:rPr>
          <w:lang w:val="fr-FR"/>
        </w:rPr>
        <w:t xml:space="preserve"> </w:t>
      </w:r>
      <w:proofErr w:type="spellStart"/>
      <w:r w:rsidRPr="006214F9">
        <w:rPr>
          <w:lang w:val="fr-FR"/>
        </w:rPr>
        <w:t>Turković</w:t>
      </w:r>
      <w:proofErr w:type="spellEnd"/>
      <w:r w:rsidRPr="006214F9">
        <w:rPr>
          <w:lang w:val="fr-FR"/>
        </w:rPr>
        <w:t>,</w:t>
      </w:r>
      <w:r w:rsidRPr="006214F9">
        <w:rPr>
          <w:i/>
          <w:lang w:val="fr-FR"/>
        </w:rPr>
        <w:br/>
      </w:r>
      <w:r w:rsidRPr="006214F9">
        <w:rPr>
          <w:lang w:val="fr-FR"/>
        </w:rPr>
        <w:tab/>
        <w:t xml:space="preserve">Tim </w:t>
      </w:r>
      <w:proofErr w:type="spellStart"/>
      <w:r w:rsidRPr="006214F9">
        <w:rPr>
          <w:lang w:val="fr-FR"/>
        </w:rPr>
        <w:t>Eicke</w:t>
      </w:r>
      <w:proofErr w:type="spellEnd"/>
      <w:r w:rsidRPr="006214F9">
        <w:rPr>
          <w:lang w:val="fr-FR"/>
        </w:rPr>
        <w:t>,</w:t>
      </w:r>
      <w:r w:rsidRPr="006214F9">
        <w:rPr>
          <w:i/>
          <w:lang w:val="fr-FR"/>
        </w:rPr>
        <w:t xml:space="preserve"> juges</w:t>
      </w:r>
      <w:proofErr w:type="gramStart"/>
      <w:r w:rsidRPr="006214F9">
        <w:rPr>
          <w:i/>
          <w:lang w:val="fr-FR"/>
        </w:rPr>
        <w:t>,</w:t>
      </w:r>
      <w:proofErr w:type="gramEnd"/>
      <w:r w:rsidRPr="006214F9">
        <w:rPr>
          <w:i/>
          <w:lang w:val="fr-FR"/>
        </w:rPr>
        <w:br/>
      </w:r>
      <w:r w:rsidRPr="006214F9">
        <w:rPr>
          <w:lang w:val="fr-FR"/>
        </w:rPr>
        <w:t xml:space="preserve">et de Renata </w:t>
      </w:r>
      <w:proofErr w:type="spellStart"/>
      <w:r w:rsidRPr="006214F9">
        <w:rPr>
          <w:lang w:val="fr-FR"/>
        </w:rPr>
        <w:t>Degener</w:t>
      </w:r>
      <w:proofErr w:type="spellEnd"/>
      <w:r w:rsidRPr="006214F9">
        <w:rPr>
          <w:lang w:val="fr-FR"/>
        </w:rPr>
        <w:t xml:space="preserve">, </w:t>
      </w:r>
      <w:r w:rsidRPr="006214F9">
        <w:rPr>
          <w:i/>
          <w:szCs w:val="24"/>
          <w:lang w:val="fr-FR"/>
        </w:rPr>
        <w:t>greffière</w:t>
      </w:r>
      <w:r w:rsidRPr="006214F9">
        <w:rPr>
          <w:i/>
          <w:iCs/>
          <w:lang w:val="fr-FR"/>
        </w:rPr>
        <w:t xml:space="preserve"> adjointe d</w:t>
      </w:r>
      <w:r w:rsidRPr="006214F9">
        <w:rPr>
          <w:i/>
          <w:lang w:val="fr-FR"/>
        </w:rPr>
        <w:t>e section,</w:t>
      </w:r>
    </w:p>
    <w:p w:rsidR="00C06BBC" w:rsidRPr="006214F9" w:rsidRDefault="00C06BBC" w:rsidP="006214F9">
      <w:pPr>
        <w:pStyle w:val="ECHRPara"/>
        <w:rPr>
          <w:lang w:val="fr-FR"/>
        </w:rPr>
      </w:pPr>
      <w:r w:rsidRPr="006214F9">
        <w:rPr>
          <w:lang w:val="fr-FR"/>
        </w:rPr>
        <w:t>Vu la requête susmentionnée introduite le 28 mars 2013,</w:t>
      </w:r>
    </w:p>
    <w:p w:rsidR="00C06BBC" w:rsidRPr="006214F9" w:rsidRDefault="00C06BBC" w:rsidP="006214F9">
      <w:pPr>
        <w:pStyle w:val="ECHRPara"/>
        <w:rPr>
          <w:lang w:val="fr-FR"/>
        </w:rPr>
      </w:pPr>
      <w:r w:rsidRPr="006214F9">
        <w:rPr>
          <w:lang w:val="fr-FR"/>
        </w:rPr>
        <w:t>Après en avoir délibéré, rend la décision suivante :</w:t>
      </w:r>
    </w:p>
    <w:p w:rsidR="00C06BBC" w:rsidRPr="006214F9" w:rsidRDefault="00C06BBC" w:rsidP="006214F9">
      <w:pPr>
        <w:pStyle w:val="ECHRTitle1"/>
        <w:rPr>
          <w:lang w:val="fr-FR"/>
        </w:rPr>
      </w:pPr>
      <w:r w:rsidRPr="006214F9">
        <w:rPr>
          <w:lang w:val="fr-FR"/>
        </w:rPr>
        <w:t>FAITS ET PROCÉDURE</w:t>
      </w:r>
    </w:p>
    <w:p w:rsidR="00C06BBC" w:rsidRPr="006214F9" w:rsidRDefault="00C06BBC" w:rsidP="006214F9">
      <w:pPr>
        <w:pStyle w:val="ECHRPara"/>
        <w:rPr>
          <w:lang w:val="fr-FR"/>
        </w:rPr>
      </w:pPr>
      <w:r w:rsidRPr="006214F9">
        <w:rPr>
          <w:lang w:val="fr-FR"/>
        </w:rPr>
        <w:t xml:space="preserve">Le requérant, M. </w:t>
      </w:r>
      <w:proofErr w:type="spellStart"/>
      <w:r w:rsidRPr="006214F9">
        <w:rPr>
          <w:lang w:val="fr-FR"/>
        </w:rPr>
        <w:t>Gennaro</w:t>
      </w:r>
      <w:proofErr w:type="spellEnd"/>
      <w:r w:rsidRPr="006214F9">
        <w:rPr>
          <w:lang w:val="fr-FR"/>
        </w:rPr>
        <w:t xml:space="preserve"> </w:t>
      </w:r>
      <w:proofErr w:type="spellStart"/>
      <w:r w:rsidRPr="006214F9">
        <w:rPr>
          <w:lang w:val="fr-FR"/>
        </w:rPr>
        <w:t>Tuccillo</w:t>
      </w:r>
      <w:proofErr w:type="spellEnd"/>
      <w:r w:rsidRPr="006214F9">
        <w:rPr>
          <w:lang w:val="fr-FR"/>
        </w:rPr>
        <w:t>, un ressortissant italien né en 1959, résidait à Palerme. Il a été représenté devant la Cour par M</w:t>
      </w:r>
      <w:r w:rsidRPr="006214F9">
        <w:rPr>
          <w:vertAlign w:val="superscript"/>
          <w:lang w:val="fr-FR"/>
        </w:rPr>
        <w:t>e</w:t>
      </w:r>
      <w:r w:rsidRPr="006214F9">
        <w:rPr>
          <w:lang w:val="fr-FR"/>
        </w:rPr>
        <w:t> D. </w:t>
      </w:r>
      <w:proofErr w:type="spellStart"/>
      <w:r w:rsidRPr="006214F9">
        <w:rPr>
          <w:lang w:val="fr-FR"/>
        </w:rPr>
        <w:t>Buonincontro</w:t>
      </w:r>
      <w:proofErr w:type="spellEnd"/>
      <w:r w:rsidRPr="006214F9">
        <w:rPr>
          <w:lang w:val="fr-FR"/>
        </w:rPr>
        <w:t xml:space="preserve">, avocat à </w:t>
      </w:r>
      <w:proofErr w:type="spellStart"/>
      <w:r w:rsidRPr="006214F9">
        <w:rPr>
          <w:lang w:val="fr-FR"/>
        </w:rPr>
        <w:t>Afragola</w:t>
      </w:r>
      <w:proofErr w:type="spellEnd"/>
      <w:r w:rsidRPr="006214F9">
        <w:rPr>
          <w:lang w:val="fr-FR"/>
        </w:rPr>
        <w:t>.</w:t>
      </w:r>
    </w:p>
    <w:p w:rsidR="00C06BBC" w:rsidRPr="006214F9" w:rsidRDefault="00C06BBC" w:rsidP="006214F9">
      <w:pPr>
        <w:pStyle w:val="ECHRPara"/>
        <w:rPr>
          <w:lang w:val="fr-FR"/>
        </w:rPr>
      </w:pPr>
      <w:r w:rsidRPr="006214F9">
        <w:rPr>
          <w:lang w:val="fr-FR"/>
        </w:rPr>
        <w:t>Le gouvernement italien (« le Gouvernement ») a été représenté par son agent, M</w:t>
      </w:r>
      <w:r w:rsidRPr="006214F9">
        <w:rPr>
          <w:vertAlign w:val="superscript"/>
          <w:lang w:val="fr-FR"/>
        </w:rPr>
        <w:t>me</w:t>
      </w:r>
      <w:r w:rsidRPr="006214F9">
        <w:rPr>
          <w:lang w:val="fr-FR"/>
        </w:rPr>
        <w:t xml:space="preserve"> E. Spatafora, et par son </w:t>
      </w:r>
      <w:proofErr w:type="spellStart"/>
      <w:r w:rsidRPr="006214F9">
        <w:rPr>
          <w:lang w:val="fr-FR"/>
        </w:rPr>
        <w:t>co</w:t>
      </w:r>
      <w:proofErr w:type="spellEnd"/>
      <w:r w:rsidRPr="006214F9">
        <w:rPr>
          <w:lang w:val="fr-FR"/>
        </w:rPr>
        <w:t>-agent, M</w:t>
      </w:r>
      <w:r w:rsidRPr="006214F9">
        <w:rPr>
          <w:vertAlign w:val="superscript"/>
          <w:lang w:val="fr-FR"/>
        </w:rPr>
        <w:t>me</w:t>
      </w:r>
      <w:r w:rsidRPr="006214F9">
        <w:rPr>
          <w:lang w:val="fr-FR"/>
        </w:rPr>
        <w:t xml:space="preserve"> M. L. Aversano.</w:t>
      </w:r>
    </w:p>
    <w:p w:rsidR="00C06BBC" w:rsidRPr="006214F9" w:rsidRDefault="00C06BBC" w:rsidP="006214F9">
      <w:pPr>
        <w:pStyle w:val="ECHRPara"/>
        <w:rPr>
          <w:lang w:val="fr-FR"/>
        </w:rPr>
      </w:pPr>
      <w:r w:rsidRPr="006214F9">
        <w:rPr>
          <w:lang w:val="fr-FR"/>
        </w:rPr>
        <w:t>Invoquant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article 7 de la Convention, le requérant se plaignait de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application rétroactive d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une nouvelle décision de cumul des peines qui avait entraîné un prolongement de sa peine d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emprisonnement de quatorze ans.</w:t>
      </w:r>
    </w:p>
    <w:p w:rsidR="00C06BBC" w:rsidRPr="006214F9" w:rsidRDefault="00C06BBC" w:rsidP="006214F9">
      <w:pPr>
        <w:pStyle w:val="ECHRPara"/>
        <w:rPr>
          <w:lang w:val="fr-FR"/>
        </w:rPr>
      </w:pPr>
      <w:r w:rsidRPr="006214F9">
        <w:rPr>
          <w:lang w:val="fr-FR"/>
        </w:rPr>
        <w:t>La Cour rappelle d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abord que le 3 mai 2017 elle a décidé de communiquer au Gouvernement le grief du requérant tel qu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exposé ci</w:t>
      </w:r>
      <w:r w:rsidR="006214F9" w:rsidRPr="006214F9">
        <w:rPr>
          <w:lang w:val="fr-FR"/>
        </w:rPr>
        <w:noBreakHyphen/>
      </w:r>
      <w:r w:rsidRPr="006214F9">
        <w:rPr>
          <w:lang w:val="fr-FR"/>
        </w:rPr>
        <w:t>dessus.</w:t>
      </w:r>
    </w:p>
    <w:p w:rsidR="00C06BBC" w:rsidRPr="006214F9" w:rsidRDefault="00C06BBC" w:rsidP="006214F9">
      <w:pPr>
        <w:pStyle w:val="ECHRPara"/>
        <w:rPr>
          <w:rFonts w:ascii="Times New Roman" w:hAnsi="Times New Roman" w:cs="Times New Roman"/>
          <w:color w:val="000000"/>
          <w:lang w:val="fr-FR"/>
        </w:rPr>
      </w:pPr>
      <w:r w:rsidRPr="006214F9">
        <w:rPr>
          <w:rFonts w:ascii="Times New Roman" w:hAnsi="Times New Roman" w:cs="Times New Roman"/>
          <w:color w:val="000000"/>
          <w:lang w:val="fr-FR"/>
        </w:rPr>
        <w:t>Par un courrier du 25 juillet 2017, le Gouvernement a informé le greffe que le requérant était décédé.</w:t>
      </w:r>
    </w:p>
    <w:p w:rsidR="00C06BBC" w:rsidRPr="006214F9" w:rsidRDefault="00C06BBC" w:rsidP="006214F9">
      <w:pPr>
        <w:pStyle w:val="ECHRPara"/>
        <w:rPr>
          <w:lang w:val="fr-FR"/>
        </w:rPr>
      </w:pPr>
      <w:r w:rsidRPr="006214F9">
        <w:rPr>
          <w:rFonts w:ascii="Times New Roman" w:hAnsi="Times New Roman" w:cs="Times New Roman"/>
          <w:color w:val="000000"/>
          <w:lang w:val="fr-FR"/>
        </w:rPr>
        <w:t>Le 10 août 2007, la lettre du Gouvernement a été envoyée au représentant du requérant pour commentaires.</w:t>
      </w:r>
    </w:p>
    <w:p w:rsidR="00C06BBC" w:rsidRPr="006214F9" w:rsidRDefault="00C06BBC" w:rsidP="006214F9">
      <w:pPr>
        <w:pStyle w:val="ECHRPara"/>
        <w:rPr>
          <w:rFonts w:ascii="Times New Roman" w:hAnsi="Times New Roman" w:cs="Times New Roman"/>
          <w:color w:val="000000"/>
          <w:lang w:val="fr-FR"/>
        </w:rPr>
      </w:pPr>
      <w:r w:rsidRPr="006214F9">
        <w:rPr>
          <w:rFonts w:ascii="Times New Roman" w:hAnsi="Times New Roman" w:cs="Times New Roman"/>
          <w:color w:val="000000"/>
          <w:lang w:val="fr-FR"/>
        </w:rPr>
        <w:lastRenderedPageBreak/>
        <w:t>En absence de réponse, le 8 septembre 2017,</w:t>
      </w:r>
      <w:r w:rsidRPr="006214F9">
        <w:rPr>
          <w:lang w:val="fr-FR"/>
        </w:rPr>
        <w:t xml:space="preserve"> le greffe a adressé au représentant du requérant une nouvelle lettre </w:t>
      </w:r>
      <w:r w:rsidRPr="006214F9">
        <w:rPr>
          <w:rFonts w:ascii="Times New Roman" w:hAnsi="Times New Roman" w:cs="Times New Roman"/>
          <w:color w:val="000000"/>
          <w:lang w:val="fr-FR"/>
        </w:rPr>
        <w:t>et l</w:t>
      </w:r>
      <w:r w:rsidR="006214F9" w:rsidRPr="006214F9">
        <w:rPr>
          <w:rFonts w:ascii="Times New Roman" w:hAnsi="Times New Roman" w:cs="Times New Roman"/>
          <w:color w:val="000000"/>
          <w:lang w:val="fr-FR"/>
        </w:rPr>
        <w:t>’</w:t>
      </w:r>
      <w:r w:rsidRPr="006214F9">
        <w:rPr>
          <w:rFonts w:ascii="Times New Roman" w:hAnsi="Times New Roman" w:cs="Times New Roman"/>
          <w:color w:val="000000"/>
          <w:lang w:val="fr-FR"/>
        </w:rPr>
        <w:t>a invité à répondre avant le 29 septembre 2017.</w:t>
      </w:r>
    </w:p>
    <w:p w:rsidR="00C06BBC" w:rsidRPr="006214F9" w:rsidRDefault="00C06BBC" w:rsidP="006214F9">
      <w:pPr>
        <w:pStyle w:val="ECHRPara"/>
        <w:rPr>
          <w:rFonts w:ascii="Times New Roman" w:hAnsi="Times New Roman" w:cs="Times New Roman"/>
          <w:color w:val="000000"/>
          <w:lang w:val="fr-FR"/>
        </w:rPr>
      </w:pPr>
      <w:r w:rsidRPr="006214F9">
        <w:rPr>
          <w:lang w:val="fr-FR"/>
        </w:rPr>
        <w:t>Par une lettre du 2 octobre 2017</w:t>
      </w:r>
      <w:r w:rsidRPr="006214F9">
        <w:rPr>
          <w:color w:val="000000"/>
          <w:lang w:val="fr-FR"/>
        </w:rPr>
        <w:t xml:space="preserve"> le représentant du requérant a demandé à la Cour d</w:t>
      </w:r>
      <w:r w:rsidR="006214F9" w:rsidRPr="006214F9">
        <w:rPr>
          <w:color w:val="000000"/>
          <w:lang w:val="fr-FR"/>
        </w:rPr>
        <w:t>’</w:t>
      </w:r>
      <w:r w:rsidRPr="006214F9">
        <w:rPr>
          <w:color w:val="000000"/>
          <w:lang w:val="fr-FR"/>
        </w:rPr>
        <w:t>octroyer une satisfaction équitable aux héritiers.</w:t>
      </w:r>
    </w:p>
    <w:p w:rsidR="00C06BBC" w:rsidRPr="006214F9" w:rsidRDefault="00C06BBC" w:rsidP="006214F9">
      <w:pPr>
        <w:pStyle w:val="ECHRPara"/>
        <w:rPr>
          <w:lang w:val="fr-FR"/>
        </w:rPr>
      </w:pPr>
      <w:r w:rsidRPr="006214F9">
        <w:rPr>
          <w:lang w:val="fr-FR"/>
        </w:rPr>
        <w:t>Le 20 octobre 2017, le greffe a adressé une le lettre recommandée, avec accusé de réception, au représentant du requérant et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a invité à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informer si les héritiers du requérant avaient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intention de poursuivre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instance</w:t>
      </w:r>
      <w:r w:rsidRPr="006214F9">
        <w:rPr>
          <w:rFonts w:eastAsiaTheme="minorHAnsi" w:cstheme="minorHAnsi"/>
          <w:color w:val="000000"/>
          <w:szCs w:val="24"/>
          <w:lang w:val="fr-FR"/>
        </w:rPr>
        <w:t xml:space="preserve">, </w:t>
      </w:r>
      <w:r w:rsidRPr="006214F9">
        <w:rPr>
          <w:lang w:val="fr-FR"/>
        </w:rPr>
        <w:t>et à renvoyer, les cas échéant, les formulaires signés pour chacun des héritiers. Le greffe précisa en outre qu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aux termes de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article 37 § 1 a) de la Convention, la Cour pouvait rayer une requête du rôle lorsque les circonstances donnent à penser que la partie requérante n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entend pas maintenir celle-ci. Le représentant du requérant n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a pas donné suite à ce dernier courrier et aucun héritier ne s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est présenté pour continuer la procédure.</w:t>
      </w:r>
    </w:p>
    <w:p w:rsidR="00C06BBC" w:rsidRPr="006214F9" w:rsidRDefault="00C06BBC" w:rsidP="006214F9">
      <w:pPr>
        <w:pStyle w:val="ECHRPara"/>
        <w:rPr>
          <w:lang w:val="fr-FR"/>
        </w:rPr>
      </w:pPr>
      <w:r w:rsidRPr="006214F9">
        <w:rPr>
          <w:lang w:val="fr-FR"/>
        </w:rPr>
        <w:t>À la lumière de ce qui précède, la Cour estime qu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il ne se justifie plus de poursuivre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examen de la requête au sens de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article 37 § 1 c) de la Convention.</w:t>
      </w:r>
    </w:p>
    <w:p w:rsidR="00C06BBC" w:rsidRPr="006214F9" w:rsidRDefault="00C06BBC" w:rsidP="006214F9">
      <w:pPr>
        <w:pStyle w:val="JuParaLast"/>
        <w:rPr>
          <w:lang w:val="fr-FR"/>
        </w:rPr>
      </w:pPr>
      <w:r w:rsidRPr="006214F9">
        <w:rPr>
          <w:lang w:val="fr-FR"/>
        </w:rPr>
        <w:t>Il y a donc lieu de rayer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affaire du rôle.</w:t>
      </w:r>
    </w:p>
    <w:p w:rsidR="00C06BBC" w:rsidRPr="006214F9" w:rsidRDefault="00C06BBC" w:rsidP="006214F9">
      <w:pPr>
        <w:pStyle w:val="JuParaLast"/>
        <w:keepNext w:val="0"/>
        <w:keepLines w:val="0"/>
        <w:rPr>
          <w:lang w:val="fr-FR"/>
        </w:rPr>
      </w:pPr>
      <w:r w:rsidRPr="006214F9">
        <w:rPr>
          <w:lang w:val="fr-FR"/>
        </w:rPr>
        <w:t>Par ces motifs, la Cour,</w:t>
      </w:r>
      <w:r w:rsidRPr="006214F9">
        <w:rPr>
          <w:color w:val="000000"/>
          <w:lang w:val="fr-FR"/>
        </w:rPr>
        <w:t xml:space="preserve"> </w:t>
      </w:r>
      <w:r w:rsidRPr="006214F9">
        <w:rPr>
          <w:lang w:val="fr-FR"/>
        </w:rPr>
        <w:t>à l</w:t>
      </w:r>
      <w:r w:rsidR="006214F9" w:rsidRPr="006214F9">
        <w:rPr>
          <w:lang w:val="fr-FR"/>
        </w:rPr>
        <w:t>’</w:t>
      </w:r>
      <w:r w:rsidRPr="006214F9">
        <w:rPr>
          <w:lang w:val="fr-FR"/>
        </w:rPr>
        <w:t>unanimité,</w:t>
      </w:r>
    </w:p>
    <w:p w:rsidR="00C06BBC" w:rsidRPr="006214F9" w:rsidRDefault="00C06BBC" w:rsidP="006214F9">
      <w:pPr>
        <w:pStyle w:val="DecList"/>
        <w:rPr>
          <w:lang w:val="fr-FR"/>
        </w:rPr>
      </w:pPr>
      <w:r w:rsidRPr="006214F9">
        <w:rPr>
          <w:i/>
          <w:lang w:val="fr-FR"/>
        </w:rPr>
        <w:t>Décide</w:t>
      </w:r>
      <w:r w:rsidRPr="006214F9">
        <w:rPr>
          <w:lang w:val="fr-FR"/>
        </w:rPr>
        <w:t xml:space="preserve"> de rayer la requête du rôle.</w:t>
      </w:r>
    </w:p>
    <w:p w:rsidR="006544C4" w:rsidRPr="006214F9" w:rsidRDefault="006544C4" w:rsidP="006214F9">
      <w:pPr>
        <w:pStyle w:val="ECHRPara"/>
        <w:rPr>
          <w:sz w:val="2"/>
          <w:szCs w:val="2"/>
          <w:lang w:val="fr-FR" w:eastAsia="en-GB"/>
        </w:rPr>
      </w:pPr>
    </w:p>
    <w:p w:rsidR="00050A32" w:rsidRPr="006214F9" w:rsidRDefault="00F40988" w:rsidP="006214F9">
      <w:pPr>
        <w:pStyle w:val="JuParaLast"/>
        <w:rPr>
          <w:lang w:val="fr-FR"/>
        </w:rPr>
      </w:pPr>
      <w:r w:rsidRPr="006214F9">
        <w:rPr>
          <w:szCs w:val="24"/>
          <w:lang w:val="fr-FR"/>
        </w:rPr>
        <w:t xml:space="preserve">Fait en français puis communiqué par écrit le </w:t>
      </w:r>
      <w:r w:rsidR="00C06BBC" w:rsidRPr="006214F9">
        <w:rPr>
          <w:szCs w:val="24"/>
          <w:lang w:val="fr-FR"/>
        </w:rPr>
        <w:t>1er mars 2018</w:t>
      </w:r>
      <w:r w:rsidRPr="006214F9">
        <w:rPr>
          <w:lang w:val="fr-FR"/>
        </w:rPr>
        <w:t>.</w:t>
      </w:r>
    </w:p>
    <w:p w:rsidR="00731FD3" w:rsidRPr="006214F9" w:rsidRDefault="00731FD3" w:rsidP="006214F9">
      <w:pPr>
        <w:pStyle w:val="JuSigned"/>
        <w:rPr>
          <w:lang w:val="fr-FR"/>
        </w:rPr>
      </w:pPr>
      <w:r w:rsidRPr="006214F9">
        <w:rPr>
          <w:lang w:val="fr-FR"/>
        </w:rPr>
        <w:tab/>
        <w:t xml:space="preserve">Renata </w:t>
      </w:r>
      <w:proofErr w:type="spellStart"/>
      <w:r w:rsidRPr="006214F9">
        <w:rPr>
          <w:lang w:val="fr-FR"/>
        </w:rPr>
        <w:t>Degener</w:t>
      </w:r>
      <w:proofErr w:type="spellEnd"/>
      <w:r w:rsidRPr="006214F9">
        <w:rPr>
          <w:lang w:val="fr-FR"/>
        </w:rPr>
        <w:tab/>
        <w:t xml:space="preserve">Kristina </w:t>
      </w:r>
      <w:proofErr w:type="spellStart"/>
      <w:r w:rsidRPr="006214F9">
        <w:rPr>
          <w:lang w:val="fr-FR"/>
        </w:rPr>
        <w:t>Pardalos</w:t>
      </w:r>
      <w:proofErr w:type="spellEnd"/>
      <w:r w:rsidRPr="006214F9">
        <w:rPr>
          <w:lang w:val="fr-FR"/>
        </w:rPr>
        <w:br/>
        <w:t>Greffière adjointe</w:t>
      </w:r>
      <w:r w:rsidRPr="006214F9">
        <w:rPr>
          <w:lang w:val="fr-FR"/>
        </w:rPr>
        <w:tab/>
        <w:t>Présidente</w:t>
      </w:r>
    </w:p>
    <w:sectPr w:rsidR="00731FD3" w:rsidRPr="006214F9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749" w:rsidRPr="007A6280" w:rsidRDefault="00755749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755749" w:rsidRPr="007A6280" w:rsidRDefault="00755749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BC" w:rsidRPr="00150BFA" w:rsidRDefault="00C06BB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FA7FB0E" wp14:editId="1A5732A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755749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749" w:rsidRPr="007A6280" w:rsidRDefault="00755749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755749" w:rsidRPr="007A6280" w:rsidRDefault="00755749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C06BBC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E0736F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8B0BD9">
      <w:rPr>
        <w:lang w:val="en-GB"/>
      </w:rPr>
      <w:tab/>
      <w:t xml:space="preserve">DÉCISION </w:t>
    </w:r>
    <w:r>
      <w:rPr>
        <w:lang w:val="en-GB"/>
      </w:rPr>
      <w:t>TUCCILLO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  <w:rPr>
        <w:lang w:val="en-GB"/>
      </w:rPr>
    </w:pPr>
    <w:r w:rsidRPr="007A6280">
      <w:rPr>
        <w:lang w:val="fr-FR"/>
      </w:rPr>
      <w:tab/>
    </w:r>
    <w:r w:rsidRPr="008B0BD9">
      <w:rPr>
        <w:lang w:val="en-GB"/>
      </w:rPr>
      <w:t xml:space="preserve">DÉCISION </w:t>
    </w:r>
    <w:r w:rsidR="00C06BBC">
      <w:rPr>
        <w:lang w:val="en-GB"/>
      </w:rPr>
      <w:t>TUCCILLO c. ITALIE</w:t>
    </w:r>
    <w:r w:rsidRPr="008B0BD9">
      <w:rPr>
        <w:lang w:val="en-GB"/>
      </w:rPr>
      <w:tab/>
    </w:r>
    <w:r w:rsidR="00C06BBC">
      <w:rPr>
        <w:rStyle w:val="Numeropagina"/>
        <w:lang w:val="en-GB"/>
      </w:rPr>
      <w:fldChar w:fldCharType="begin"/>
    </w:r>
    <w:r w:rsidR="00C06BBC">
      <w:rPr>
        <w:rStyle w:val="Numeropagina"/>
        <w:lang w:val="en-GB"/>
      </w:rPr>
      <w:instrText xml:space="preserve"> PAGE </w:instrText>
    </w:r>
    <w:r w:rsidR="00C06BBC">
      <w:rPr>
        <w:rStyle w:val="Numeropagina"/>
        <w:lang w:val="en-GB"/>
      </w:rPr>
      <w:fldChar w:fldCharType="separate"/>
    </w:r>
    <w:r w:rsidR="00C06BBC">
      <w:rPr>
        <w:rStyle w:val="Numeropagina"/>
        <w:noProof/>
        <w:lang w:val="en-GB"/>
      </w:rPr>
      <w:t>4</w:t>
    </w:r>
    <w:r w:rsidR="00C06BBC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BC" w:rsidRPr="00A45145" w:rsidRDefault="00C06BB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75E6D97" wp14:editId="1C9EEF5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755749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C06BB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43DE5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34BB3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14F9"/>
    <w:rsid w:val="006231F3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1FD3"/>
    <w:rsid w:val="00733250"/>
    <w:rsid w:val="00741404"/>
    <w:rsid w:val="007449E5"/>
    <w:rsid w:val="00747FF0"/>
    <w:rsid w:val="00755749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045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06BBC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36F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69F0-854A-4023-A004-E2811F16F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00E7A-8B2B-417B-AE01-33F99B62A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A2400-BB89-40D5-BBEC-7A8CB72F08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A9E3F1-7A7D-47C8-8D41-D9384E6B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2018-03-13T14:43:00Z</dcterms:created>
  <dcterms:modified xsi:type="dcterms:W3CDTF">2018-03-13T14:43:00Z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26071/13</vt:lpwstr>
  </property>
  <property fmtid="{D5CDD505-2E9C-101B-9397-08002B2CF9AE}" pid="4" name="CASEID">
    <vt:lpwstr>876614</vt:lpwstr>
  </property>
  <property fmtid="{D5CDD505-2E9C-101B-9397-08002B2CF9AE}" pid="5" name="ContentTypeId">
    <vt:lpwstr>0x010100558EB02BDB9E204AB350EDD385B68E10</vt:lpwstr>
  </property>
</Properties>
</file>